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2476500</wp:posOffset>
                </wp:positionV>
                <wp:extent cx="647700" cy="13335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477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57728;o:allowoverlap:true;o:allowincell:true;mso-position-horizontal-relative:text;margin-left:25.10pt;mso-position-horizontal:absolute;mso-position-vertical-relative:text;margin-top:195.00pt;mso-position-vertical:absolute;width:51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2293620</wp:posOffset>
                </wp:positionV>
                <wp:extent cx="927100" cy="133350"/>
                <wp:effectExtent l="0" t="0" r="0" b="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27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656704;o:allowoverlap:true;o:allowincell:true;mso-position-horizontal-relative:text;margin-left:97.15pt;mso-position-horizontal:absolute;mso-position-vertical-relative:text;margin-top:180.60pt;mso-position-vertical:absolute;width:73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2293620</wp:posOffset>
                </wp:positionV>
                <wp:extent cx="800100" cy="133350"/>
                <wp:effectExtent l="0" t="0" r="0" b="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001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type="#_x0000_t1" style="position:absolute;z-index:251655680;o:allowoverlap:true;o:allowincell:true;mso-position-horizontal-relative:text;margin-left:13.10pt;mso-position-horizontal:absolute;mso-position-vertical-relative:text;margin-top:180.60pt;mso-position-vertical:absolute;width:63.0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1233805</wp:posOffset>
                </wp:positionH>
                <wp:positionV relativeFrom="paragraph">
                  <wp:posOffset>2476500</wp:posOffset>
                </wp:positionV>
                <wp:extent cx="828040" cy="133350"/>
                <wp:effectExtent l="0" t="0" r="0" b="0"/>
                <wp:wrapNone/>
                <wp:docPr id="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2804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  <w:r>
                              <w:rPr>
                                <w:rFonts w:ascii="Verdana" w:hAnsi="Verdana"/>
                                <w:sz w:val="16"/>
                                <w:lang w:val="en-US"/>
                              </w:rPr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1" type="#_x0000_t1" style="position:absolute;z-index:251658752;o:allowoverlap:true;o:allowincell:true;mso-position-horizontal-relative:text;margin-left:97.15pt;mso-position-horizontal:absolute;mso-position-vertical-relative:text;margin-top:195.00pt;mso-position-vertical:absolute;width:65.20pt;height:10.50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rFonts w:ascii="Verdana" w:hAnsi="Verdana"/>
                          <w:sz w:val="1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  <w:r>
                        <w:rPr>
                          <w:rFonts w:ascii="Verdana" w:hAnsi="Verdana"/>
                          <w:sz w:val="16"/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  <w:t xml:space="preserve">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№1 к Документации о закупке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Технические требования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на проведение аукциона в электронной форме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ind w:left="1190" w:hanging="510"/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 xml:space="preserve">Наименование: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Аукцион в электронной форме «ОКПД 2 64.19.21.000 Оказание услуг по предоставлению заемных средств для нужд АО "ДГК", г. Хабаровск».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ind w:left="1190" w:hanging="510"/>
        <w:jc w:val="both"/>
        <w:spacing w:before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 xml:space="preserve">Заказчик:</w:t>
      </w:r>
      <w:r>
        <w:rPr>
          <w:rFonts w:ascii="Times New Roman" w:hAnsi="Times New Roman" w:eastAsia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numPr>
          <w:ilvl w:val="1"/>
          <w:numId w:val="12"/>
        </w:numPr>
        <w:ind w:hanging="11"/>
        <w:jc w:val="both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Наименование заказчика: Акционерное общество «Дальневосточная генерирующая компания»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Адрес заказчика: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680000, г. Хабаровск, ул. Фрунзе, 49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ind w:left="1190" w:hanging="510"/>
        <w:jc w:val="both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u w:val="single"/>
        </w:rPr>
        <w:t xml:space="preserve">Требования к оказываемой услуге: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Вид кредитного продукта: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20"/>
        <w:jc w:val="both"/>
        <w:spacing w:before="120"/>
        <w:shd w:val="clear" w:color="ffffff" w:themeColor="background1" w:fill="ffffff" w:themeFill="background1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№1 (90008010-ФИ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 ФД-2026-ДГК) 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возобновляемая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рамочная кредитная линия (без обязательств по выдаче денежных средств) с лимитом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4 000 000 000,00 рублей,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кредиты (транши) в рамках кредитной линии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 xml:space="preserve">предоставляются на срок не более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yellow"/>
        </w:rPr>
        <w:t xml:space="preserve">5 (Пяти) лет.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ind w:firstLine="720"/>
        <w:jc w:val="both"/>
        <w:spacing w:before="120"/>
        <w:shd w:val="clear" w:color="ffffff" w:themeColor="background1" w:fill="ffffff" w:themeFill="background1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№2 (90008011-ФИН ФД-2026-ДГК) 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возобновляемая рамочная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кредитная линия (без обязательств по выдаче денежных средств) с лимитом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4 000 000 000,00 рублей,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кредиты (транши) в рамках кредитной линии предоставляются на срок не более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5 (Пяти)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20"/>
        <w:jc w:val="both"/>
        <w:spacing w:before="120"/>
        <w:shd w:val="clear" w:color="ffffff" w:themeColor="background1" w:fill="ffffff" w:themeFill="background1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№3 (90008012-ФИН ФД-2026-ДГК) 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возобновляемая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рамочная кредитная линия (без обязательств по вы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даче денежных средств) с лимитом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4 000 000 000,00 рублей,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кредиты (транши) в рамках кредитной линии предоставляются на срок не более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5 (Пяти)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20"/>
        <w:jc w:val="both"/>
        <w:spacing w:before="120"/>
        <w:shd w:val="clear" w:color="ffffff" w:themeColor="background1" w:fill="ffffff" w:themeFill="background1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№4 (90008013-ФИН ФД-2026-ДГК) –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возобновляемая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рамочная кредитная линия (без обязательств по выдаче денежных средств) с лимитом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4 000 000 000,00 рублей,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кредиты (транши) в рамках кредитной линии предоставляются на срок не более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5 (Пяти) лет.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709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Цел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привлечения кредитных средств: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фин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ансирование текущей операционной деятельности, инвестиционной деятельности и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 xml:space="preserve">рефинансирования действующих кредитов и займов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numPr>
          <w:ilvl w:val="1"/>
          <w:numId w:val="12"/>
        </w:numPr>
        <w:ind w:left="0" w:firstLine="709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cyan"/>
        </w:rPr>
      </w:r>
      <w:bookmarkStart w:id="0" w:name="_GoBack"/>
      <w:r>
        <w:rPr>
          <w:rFonts w:ascii="Times New Roman" w:hAnsi="Times New Roman" w:eastAsia="Times New Roman" w:cs="Times New Roman"/>
          <w:sz w:val="24"/>
          <w:szCs w:val="24"/>
          <w:highlight w:val="cyan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  <w:highlight w:val="cyan"/>
        </w:rPr>
        <w:t xml:space="preserve">Предоставление заемных средств Кредитором Заемщику осуществляется Кредитами (траншами) в размере и на условиях, согласованных Заемщиком и Кредитором, оформляемых отдельными Подтверждениями (заявлениями) Сторон в пределах лимита Кредитной линии.</w:t>
      </w:r>
      <w:r>
        <w:rPr>
          <w:rFonts w:ascii="Times New Roman" w:hAnsi="Times New Roman" w:eastAsia="Times New Roman" w:cs="Times New Roman"/>
          <w:sz w:val="24"/>
          <w:szCs w:val="24"/>
          <w:highlight w:val="cyan"/>
        </w:rPr>
      </w:r>
      <w:r>
        <w:rPr>
          <w:rFonts w:ascii="Times New Roman" w:hAnsi="Times New Roman" w:cs="Times New Roman"/>
          <w:sz w:val="24"/>
          <w:szCs w:val="24"/>
          <w:highlight w:val="cyan"/>
        </w:rPr>
      </w:r>
    </w:p>
    <w:p>
      <w:pPr>
        <w:numPr>
          <w:ilvl w:val="1"/>
          <w:numId w:val="12"/>
        </w:numPr>
        <w:ind w:left="709" w:firstLine="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Период заимствования (срок действия договора):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№1 (90008010-ФИН ФД-2026-ДГК)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- 2 555 дн.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№2 (90008011-ФИН ФД-2026-ДГК)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- 2 555 дн.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№3 (90008012-ФИН ФД-2026-ДГК)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- 2 555 дн.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№4 (90008013-ФИН ФД-2026-ДГК)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- 2 555 дн.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numPr>
          <w:ilvl w:val="1"/>
          <w:numId w:val="12"/>
        </w:numPr>
        <w:ind w:left="709" w:firstLine="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Период выборки кредита (период действия лимита):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680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№1 (90008010-ФИН ФД-2026-ДГК)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– в течение всего срока действия договора.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680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№2 (90008011-ФИН ФД-2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026-ДГК)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– в течение всего срока действия договора.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yellow"/>
        </w:rPr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</w:r>
    </w:p>
    <w:p>
      <w:pPr>
        <w:ind w:firstLine="680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№3 (90008012-ФИН ФД-2026-ДГК)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– в течение всего срока действия договора.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680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№4 (90008013-ФИН ФД-2026-ДГК)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– в течение всего срока действия договора.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firstLine="680"/>
        <w:jc w:val="both"/>
        <w:spacing w:before="120" w:after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Заключение кредитного договора: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ранее чем через 10 (десять) календарных дней и не позднее чем через 20 (двадцать) календарных дней с даты официального размещения итогового протокола, составленного по результатам закупки.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709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Начальная (максимальная) цена (в рублях)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суммарная величина за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трат на привлечение и обслуживание заемных средств: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№1 (90008010 -ФИН ФД-2026-ДГК) - 5 600 000 000,00 рублей (без учета НДС), в т.ч.: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цена ключевой ставки Банка России - 4 480 000 000,00 рублей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начальный максимальный размер маржи – 1 120 000 000,00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рублей.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№2 (90008011 -ФИН ФД-2026-ДГК) - 5 600 000 000,00 рублей (без учета НДС), в т.ч.: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цена ключевой ставки Банка России - 4 480 000 000,00 рублей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начальный максимальный размер маржи – 1 120 000 000,00 рублей.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№3 (90008012 -ФИН ФД-2026-ДГК)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- 5 600 000 000,00 рублей (без учета НДС), в т.ч.: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цена ключевой ставки Банка России - 4 480 000 000,00 рублей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начальный максимальный размер маржи – 1 120 000 000,00 рублей.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Лот №4 (90008013 -ФИН ФД-2026-ДГК) - 5 600 000 000,00 рублей (без учета НДС),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т.ч.: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цена ключевой ставки Банка России - 4 480 000 000,00 рублей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spacing w:before="120" w:after="120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начальный максимальный размер маржи – 1 120 000 000,00 рублей.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24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Комиссии: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 включение любых комиссий в кредитный договор не предусмотрено.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Максимальная процентная ставка за пользование кредитными средствами: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№1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90008010-ФИН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– не более ключевой ставки Банка России + маржа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В целях единого формирования процентной ставки ключевая ставка Банка России определяется исхо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дя из действующей ключевой ставки –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16%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определенной Банком России 19.12.2025 г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</w:rPr>
      </w:r>
    </w:p>
    <w:p>
      <w:pPr>
        <w:ind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№2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90008011-ФИН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– не более ключевой ставки Банка России + маржа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В целях единого формирования процентной ставки ключевая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ставка Банка Рос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сии определяется исходя из действующей ключевой ставки –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16%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определенной Банком России 19.12.2025 г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№3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90008012-ФИН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– не более ключевой ставки Банка России + маржа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В целях единого формирования процентной ставки ключ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евая ставка Банка России определяется исходя из действующей ключевой ставки –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16%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определенной Банком России 19.12.2025 г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Лот №4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90008013-ФИН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) – не более ключевой ставки Банка России + маржа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4%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 В целях единого формирования процентной ставки ключевая ставка Банка России определяется исходя из действующей ключевой ставки –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16% годовых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 определенной Банком России 19.12.2025 г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Шаг аукциона (величина понижения начальной максимальной цены)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0,5%-5,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0% от максимальной цены договора (Приложение №1), что составляет: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940"/>
        <w:ind w:left="0" w:firstLine="72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Лот №1(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90008010-ФИН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)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– 28 000 000,00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руб. (без учета НДС) –                 280 000 000,00 руб. (без учета НДС);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pStyle w:val="940"/>
        <w:ind w:left="0" w:firstLine="72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Лот №2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90008011-ФИН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)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– 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28 000 000,00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руб. (без учет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а НДС) –                 280 000 000,00 руб. (без учета НДС);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pStyle w:val="940"/>
        <w:ind w:left="0" w:firstLine="72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Лот №3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90008012-ФИН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) –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 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28 000 000,00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руб. (без учета НДС) –                 280 000 000,00 руб. (без учета НДС);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pStyle w:val="940"/>
        <w:ind w:left="0" w:firstLine="720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Лот №4 (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90008013-ФИН ФД-2026-ДГК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) –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lang w:val="ru-RU"/>
        </w:rPr>
        <w:t xml:space="preserve">28 000 000,00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руб. (без учета НД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lang w:val="ru-RU"/>
        </w:rPr>
        <w:t xml:space="preserve">С) –                 280 000 000,00 руб. (без учета НДС).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709"/>
        <w:jc w:val="both"/>
        <w:spacing w:before="153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Порядок формирования цены договора (расчет прилагается) –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При расчете цены договора предполагается осуществление полной выборки кредита в первый день открытия кредитной линии и полное единовременное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погашение в последний день действия договора.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При расчете цены договора (процентов) количество дней в месяце принимается равным календарному, а в году принимается равным 365 дням: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709"/>
        <w:jc w:val="both"/>
        <w:spacing w:before="24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Лот №1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90008010-ФИН ФД-2026-ДГК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):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left="709"/>
        <w:jc w:val="both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tbl>
      <w:tblPr>
        <w:tblStyle w:val="793"/>
        <w:tblW w:w="9923" w:type="dxa"/>
        <w:tblInd w:w="14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938"/>
      </w:tblGrid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Цена договора =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38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4 000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000 000 руб. * (Ключевая ставка Банка России +маржа,%) * 2 555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365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709"/>
        <w:jc w:val="both"/>
        <w:spacing w:before="24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Лот №2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90008011-ФИН ФД-2026-ДГК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):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left="709"/>
        <w:jc w:val="both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tbl>
      <w:tblPr>
        <w:tblStyle w:val="793"/>
        <w:tblW w:w="9923" w:type="dxa"/>
        <w:tblInd w:w="14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938"/>
      </w:tblGrid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Цена договора =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38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000 000 000 руб. * (Ключевая ставка Банка России +маржа,%) * 2 555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365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Лот №3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  <w:t xml:space="preserve">90008012-ФИН ФД-2026-ДГК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  <w:t xml:space="preserve">):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white"/>
        </w:rPr>
      </w:r>
    </w:p>
    <w:p>
      <w:pPr>
        <w:ind w:left="709"/>
        <w:jc w:val="both"/>
        <w:tabs>
          <w:tab w:val="left" w:pos="1276" w:leader="none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white"/>
        </w:rPr>
      </w:r>
    </w:p>
    <w:tbl>
      <w:tblPr>
        <w:tblStyle w:val="793"/>
        <w:tblW w:w="9923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938"/>
      </w:tblGrid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Цена договора =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ind w:firstLine="138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4 000 000 000 руб. * (Ключевая ставка Банка России +маржа,%) * 2 555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5" w:type="dxa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3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365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ind w:left="709"/>
        <w:jc w:val="both"/>
        <w:spacing w:before="24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Лот №4 (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90008013-ФИН ФД-2026-ДГК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):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ind w:left="709"/>
        <w:jc w:val="both"/>
        <w:spacing w:before="120"/>
        <w:tabs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tbl>
      <w:tblPr>
        <w:tblStyle w:val="793"/>
        <w:tblW w:w="9960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992"/>
        <w:gridCol w:w="7968"/>
      </w:tblGrid>
      <w:tr>
        <w:tblPrEx/>
        <w:trPr>
          <w:trHeight w:val="28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Цена договора =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68" w:type="dxa"/>
            <w:textDirection w:val="lrTb"/>
            <w:noWrap w:val="false"/>
          </w:tcPr>
          <w:p>
            <w:pPr>
              <w:ind w:firstLine="138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000 000 000 руб. * (Ключевая ставка Банка России +маржа,%) * 2 555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2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92" w:type="dxa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79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365 дн.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numPr>
          <w:ilvl w:val="1"/>
          <w:numId w:val="12"/>
        </w:numPr>
        <w:ind w:left="0" w:firstLine="680"/>
        <w:jc w:val="both"/>
        <w:spacing w:before="36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Валюта, используемая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для формирования (максимальной) цены, а также, любых расчетов между Сторонами по заключаемому по результату торгов договору 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российский рубль. Не допускается включения в состав Предложения (и/или проект договора) условий, в соответств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ии с которыми могут возникнуть обязательства, выраженные в иностранной валюте (либо возникнуть обязательства, величина которых приравнивается к иностранной валюте).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680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Включение Участником закупки в состав Предложения (и/или проект договора) условий, в соотве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тствии с которыми могут возникнуть обязательства, выраженные в иностранной валюте (либо возникнуть обязательства, величина которых приравнивается к иностранной валюте), может быть расценено закупочной комиссией как несоответствие Предложения на участие в з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акупке требованиям, установленным закупочной документацией.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Порядок уплаты процентов: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ежемесячно в последний рабочий день каждого календарного месяца в сумме начисленных процентов по последний календарный день месяца (включительно), и в дату полного погаше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ния кредита или в дату полного погашения кредита, осуществленного ранее установленного срока погашения, в сумме начисленных на указанные даты процентов (включительно).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Вид процентной ставки: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плавающая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Изменение процентной ставки: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 изменении Банком Росс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ии ключевой ставки, процентная ставка по договору изменяется на величину изменения ключевой ставки Банка России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 xml:space="preserve">с даты изменения ключевой ставки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Банком России.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white"/>
        </w:rPr>
        <w:t xml:space="preserve">Использование лимита кредитной линии:</w:t>
      </w:r>
      <w:r>
        <w:rPr>
          <w:rFonts w:ascii="Times New Roman" w:hAnsi="Times New Roman" w:eastAsia="Times New Roman" w:cs="Times New Roman"/>
          <w:b/>
          <w:bCs/>
          <w:i/>
          <w:iCs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без дополнительных пеней, штрафных санкций, комиссий, процентов за неполное использование лимита.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940"/>
        <w:numPr>
          <w:ilvl w:val="1"/>
          <w:numId w:val="1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white"/>
          <w:lang w:val="ru-RU"/>
        </w:rPr>
        <w:t xml:space="preserve">Прочие платежи: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 за несвоевременный возврат основного долга и процентов.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Погашение кредита: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 окончанию срока действия договора.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Досрочное погашение кредита: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досрочное погашение предусмотрено на протяжении всего срока действия кредитного договора без моратория, оплаты комиссий и штрафных санкций, связанных с досрочным погашением. Письменное Уведомление </w:t>
      </w:r>
      <w:r>
        <w:rPr>
          <w:rFonts w:ascii="Times New Roman" w:hAnsi="Times New Roman" w:eastAsia="Times New Roman" w:cs="Times New Roman"/>
          <w:sz w:val="24"/>
          <w:szCs w:val="24"/>
          <w:highlight w:val="yellow"/>
        </w:rPr>
        <w:t xml:space="preserve">о досрочном погашении направляется Кредитору за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yellow"/>
        </w:rPr>
        <w:t xml:space="preserve">2 (Два) Раб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yellow"/>
        </w:rPr>
        <w:t xml:space="preserve">очих дня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до перечисления суммы Основного долга.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709"/>
        <w:jc w:val="both"/>
        <w:spacing w:before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Обеспечение: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поручительство ПАО «РусГидро». Договор поручительства заключается в течение 75 календарных дней с даты заключения кредитного договора.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период действия отсрочки заключение договора поручительства не может являться отлагательным условием выдачи кредитных средств Банком.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Право на акцепт списания денежных средств –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не предоставляется (включая расчетный счет, открытый в Банке-кредиторе).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white"/>
        </w:rPr>
        <w:t xml:space="preserve">Усл</w:t>
      </w: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white"/>
        </w:rPr>
        <w:t xml:space="preserve">овия по поддержанию кредитовых оборотов на счете: 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highlight w:val="white"/>
        </w:rPr>
        <w:t xml:space="preserve">не предоставляется.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1"/>
          <w:numId w:val="12"/>
        </w:numPr>
        <w:ind w:left="0" w:firstLine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Допустимые ковенанты: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680"/>
        <w:jc w:val="both"/>
        <w:spacing w:before="120" w:line="276" w:lineRule="auto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Возможно установление только следующих ковенант: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numPr>
          <w:ilvl w:val="2"/>
          <w:numId w:val="16"/>
        </w:numPr>
        <w:ind w:left="1418"/>
        <w:jc w:val="both"/>
        <w:spacing w:before="120" w:line="276" w:lineRule="auto"/>
        <w:tabs>
          <w:tab w:val="left" w:pos="1418" w:leader="none"/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u w:val="single"/>
        </w:rPr>
        <w:t xml:space="preserve">Финансовые ковенанты Группы РусГидро: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  <w:t xml:space="preserve">Показатель Чистый Долг / EBITDA -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не более предельного значения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Style w:val="793"/>
        <w:tblW w:w="0" w:type="auto"/>
        <w:tblLayout w:type="fixed"/>
        <w:tblLook w:val="04A0" w:firstRow="1" w:lastRow="0" w:firstColumn="1" w:lastColumn="0" w:noHBand="0" w:noVBand="1"/>
      </w:tblPr>
      <w:tblGrid>
        <w:gridCol w:w="2903"/>
        <w:gridCol w:w="2903"/>
      </w:tblGrid>
      <w:tr>
        <w:tblPrEx/>
        <w:trPr/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Отчетная дата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Предельное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31.12.2027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9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6,0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31.12.2028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5,0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31.12.2029 и далее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9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4,0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Показатель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Чистый Долг / EBITDA рассчитывается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один раз в год на основании данных годовой консолидированной финансовой отчетности Группы РусГидро на 31 декабря каждого года по МСФО.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Показатель Чистый Долг = Долгосрочные кредиты и займы + Краткосрочные кредиты и займы – Денежные средства и их эквивалент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ы.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Показатель EBITDA (МСФО) = Операционная прибыль за последние 4 (Четыре) квартала + Амортизационные отчисления за последние 4 (Четыре) квартала + Корректировка на неденежные статьи операционных расходов и доходов.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При этом доходы включаются в корректиров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ку со знаком «-», а расходы – со знаком «+».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  <w:t xml:space="preserve">Группа РусГидро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– ПАО «РусГидро» и дочерние общества, при включении которых в консолидированную финансовую отчетность РусГидро по МСФО используется метод прямой консолидации.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2"/>
          <w:numId w:val="16"/>
        </w:numPr>
        <w:ind w:left="1418"/>
        <w:jc w:val="both"/>
        <w:spacing w:before="120" w:line="276" w:lineRule="auto"/>
        <w:tabs>
          <w:tab w:val="left" w:pos="1418" w:leader="none"/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white"/>
          <w:u w:val="single"/>
        </w:rPr>
        <w:t xml:space="preserve">Допустимые нефинансовые ковенанты: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940"/>
        <w:contextualSpacing w:val="0"/>
        <w:jc w:val="both"/>
        <w:spacing w:before="120"/>
        <w:tabs>
          <w:tab w:val="left" w:pos="0" w:leader="none"/>
          <w:tab w:val="center" w:pos="5103" w:leader="none"/>
          <w:tab w:val="right" w:pos="1020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lang w:val="ru-RU"/>
        </w:rPr>
        <w:t xml:space="preserve">Согласно разделам 9 и 10 типового Соглашения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2"/>
          <w:numId w:val="16"/>
        </w:numPr>
        <w:ind w:left="0" w:firstLine="698"/>
        <w:jc w:val="both"/>
        <w:spacing w:before="120" w:line="276" w:lineRule="auto"/>
        <w:tabs>
          <w:tab w:val="left" w:pos="1701" w:leader="none"/>
          <w:tab w:val="left" w:pos="1843" w:leader="none"/>
          <w:tab w:val="left" w:pos="1985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Данный перечень исчерпывает возможные финансовые и нефинансовые ковенанты.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Включение дополнительных ковенантов в проект кредитного договора не допускается. Заявка, содержащая дополнительные ковенанты, не предусм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отренные проектом кредитного договора, будет отклонена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Участник может исключить любые ковенанты из проекта кредитного договора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numPr>
          <w:ilvl w:val="0"/>
          <w:numId w:val="12"/>
        </w:numPr>
        <w:ind w:left="1190" w:hanging="510"/>
        <w:jc w:val="both"/>
        <w:spacing w:before="240" w:line="276" w:lineRule="auto"/>
        <w:rPr>
          <w:rFonts w:ascii="Times New Roman" w:hAnsi="Times New Roman" w:cs="Times New Roman"/>
          <w:b/>
          <w:sz w:val="24"/>
          <w:szCs w:val="24"/>
          <w:highlight w:val="white"/>
          <w:u w:val="singl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u w:val="single"/>
        </w:rPr>
        <w:t xml:space="preserve">Требования к качеству: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  <w:u w:val="single"/>
        </w:rPr>
      </w:r>
    </w:p>
    <w:p>
      <w:pPr>
        <w:ind w:firstLine="709"/>
        <w:jc w:val="both"/>
        <w:spacing w:before="240" w:line="276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Заказчиком применяются требования к безопасности, качеству услуг, к результатам услуг, отличные от установленных в соответствии с законодательством Российской Федерации о техническом регулировании, законодательством Российской Федерации о стандартизации в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связи с тем, что по данным видам услуг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120" w:line="276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Для качественного исполнения услуг по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кредитованию необходимо руководствоваться нормативными документами Российской Федерации (с учетом действующих изменений и дополнений), в том числе: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firstLine="709"/>
        <w:jc w:val="both"/>
        <w:spacing w:before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Федеральный закон от 02.12.1990 N 395-1 "О банках и банковской деятельности".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ind w:left="1190" w:hanging="510"/>
        <w:jc w:val="both"/>
        <w:spacing w:before="240" w:line="276" w:lineRule="auto"/>
        <w:rPr>
          <w:rFonts w:ascii="Times New Roman" w:hAnsi="Times New Roman" w:cs="Times New Roman"/>
          <w:b/>
          <w:sz w:val="24"/>
          <w:szCs w:val="24"/>
          <w:highlight w:val="white"/>
          <w:u w:val="singl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u w:val="single"/>
        </w:rPr>
        <w:t xml:space="preserve">Требования к Участникам: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highlight w:val="white"/>
          <w:u w:val="single"/>
        </w:rPr>
      </w:r>
    </w:p>
    <w:p>
      <w:pPr>
        <w:ind w:firstLine="709"/>
        <w:jc w:val="both"/>
        <w:spacing w:before="120" w:line="276" w:lineRule="auto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1. Участник должен являться кредитной организацией, созданной на основе любой формы собственности как хозяйственное общество (акционерное общество) и совершать банковские операции на основании действующей лицензии на осуществление банковских операций, выда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нной Центральным банком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ind w:left="360" w:firstLine="349"/>
        <w:jc w:val="both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   Наличие одобрения предоставления кредитных средств банком.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8"/>
        </w:numPr>
        <w:ind w:left="0" w:firstLine="709"/>
        <w:jc w:val="both"/>
        <w:spacing w:before="120" w:line="276" w:lineRule="auto"/>
        <w:tabs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Перечень документов, подтверждающих соответствие Участника закупки установленным дополнительным требованиям: 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38"/>
        <w:numPr>
          <w:ilvl w:val="0"/>
          <w:numId w:val="10"/>
        </w:numPr>
        <w:ind w:left="0" w:firstLine="709"/>
        <w:spacing w:before="120" w:line="276" w:lineRule="auto"/>
        <w:tabs>
          <w:tab w:val="left" w:pos="-142" w:leader="none"/>
          <w:tab w:val="left" w:pos="34" w:leader="none"/>
          <w:tab w:val="left" w:pos="142" w:leader="none"/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Заверенная Участником копия лицензии на осуществление банковских операций, выдаваемая Банком России, которая должна содержать указание на один из видов лицензий, определенных п.п.8.8 - 8.10, 14.1 Инструкции ЦБ РФ от 02.04.2010 №135-И, перечень банковских 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пераций, право на осуществление которых предоставлено кредитной организации, дату выдачи и номер лицензии.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8"/>
        <w:numPr>
          <w:ilvl w:val="0"/>
          <w:numId w:val="10"/>
        </w:numPr>
        <w:ind w:left="0" w:firstLine="709"/>
        <w:spacing w:before="120" w:line="276" w:lineRule="auto"/>
        <w:tabs>
          <w:tab w:val="left" w:pos="34" w:leader="none"/>
          <w:tab w:val="left" w:pos="317" w:leader="none"/>
          <w:tab w:val="left" w:pos="543" w:leader="none"/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Заверенный Участником документ, подтверждающий решение компетентного органа об одобрении предоставления кредитных средств банком.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even" r:id="rId9"/>
      <w:footnotePr/>
      <w:endnotePr/>
      <w:type w:val="nextPage"/>
      <w:pgSz w:w="11906" w:h="16838" w:orient="portrait"/>
      <w:pgMar w:top="709" w:right="851" w:bottom="851" w:left="1134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  <w:rPr>
        <w:rStyle w:val="935"/>
      </w:rPr>
      <w:framePr w:wrap="around" w:vAnchor="text" w:hAnchor="margin" w:xAlign="center" w:y="1"/>
    </w:pPr>
    <w:r>
      <w:rPr>
        <w:rStyle w:val="935"/>
      </w:rPr>
      <w:fldChar w:fldCharType="begin"/>
    </w:r>
    <w:r>
      <w:rPr>
        <w:rStyle w:val="935"/>
      </w:rPr>
      <w:instrText xml:space="preserve">PAGE  </w:instrText>
    </w:r>
    <w:r>
      <w:rPr>
        <w:rStyle w:val="935"/>
      </w:rPr>
      <w:fldChar w:fldCharType="end"/>
    </w:r>
    <w:r>
      <w:rPr>
        <w:rStyle w:val="935"/>
      </w:rPr>
    </w:r>
    <w:r>
      <w:rPr>
        <w:rStyle w:val="935"/>
      </w:rPr>
    </w:r>
  </w:p>
  <w:p>
    <w:pPr>
      <w:pStyle w:val="9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394" w:hanging="360"/>
        <w:tabs>
          <w:tab w:val="num" w:pos="394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114" w:hanging="360"/>
        <w:tabs>
          <w:tab w:val="num" w:pos="111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34" w:hanging="360"/>
        <w:tabs>
          <w:tab w:val="num" w:pos="183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54" w:hanging="360"/>
        <w:tabs>
          <w:tab w:val="num" w:pos="255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74" w:hanging="360"/>
        <w:tabs>
          <w:tab w:val="num" w:pos="327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94" w:hanging="360"/>
        <w:tabs>
          <w:tab w:val="num" w:pos="399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14" w:hanging="360"/>
        <w:tabs>
          <w:tab w:val="num" w:pos="471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34" w:hanging="360"/>
        <w:tabs>
          <w:tab w:val="num" w:pos="543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54" w:hanging="360"/>
        <w:tabs>
          <w:tab w:val="num" w:pos="6154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none"/>
      <w:isLgl/>
      <w:suff w:val="tab"/>
      <w:lvlText w:val="5.1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-"/>
      <w:lvlJc w:val="left"/>
      <w:pPr>
        <w:ind w:left="1755" w:hanging="675"/>
        <w:tabs>
          <w:tab w:val="num" w:pos="1755" w:leader="none"/>
        </w:tabs>
      </w:pPr>
      <w:rPr>
        <w:rFonts w:hint="default" w:ascii="Times New Roman" w:hAnsi="Times New Roman" w:eastAsia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94" w:hanging="360"/>
        <w:tabs>
          <w:tab w:val="num" w:pos="394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114" w:hanging="360"/>
        <w:tabs>
          <w:tab w:val="num" w:pos="111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34" w:hanging="360"/>
        <w:tabs>
          <w:tab w:val="num" w:pos="183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54" w:hanging="360"/>
        <w:tabs>
          <w:tab w:val="num" w:pos="255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74" w:hanging="360"/>
        <w:tabs>
          <w:tab w:val="num" w:pos="327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94" w:hanging="360"/>
        <w:tabs>
          <w:tab w:val="num" w:pos="399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14" w:hanging="360"/>
        <w:tabs>
          <w:tab w:val="num" w:pos="471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34" w:hanging="360"/>
        <w:tabs>
          <w:tab w:val="num" w:pos="543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54" w:hanging="360"/>
        <w:tabs>
          <w:tab w:val="num" w:pos="6154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8"/>
        <w:szCs w:val="24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8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938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-360" w:firstLine="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50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3" w:hanging="180"/>
      </w:pPr>
    </w:lvl>
  </w:abstractNum>
  <w:abstractNum w:abstractNumId="1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0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8"/>
        <w:szCs w:val="24"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8"/>
        <w:szCs w:val="24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0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suff w:val="tab"/>
      <w:lvlText w:val="%1.21.%3."/>
      <w:lvlJc w:val="left"/>
      <w:pPr>
        <w:ind w:left="2440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(%1)"/>
      <w:legacy w:legacy="1" w:legacyIndent="567" w:legacySpace="170"/>
      <w:lvlJc w:val="left"/>
      <w:pPr>
        <w:ind w:left="605" w:hanging="567"/>
      </w:pPr>
      <w:rPr>
        <w:rFonts w:cs="Times New Roman"/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94" w:hanging="360"/>
        <w:tabs>
          <w:tab w:val="num" w:pos="1194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914" w:hanging="180"/>
        <w:tabs>
          <w:tab w:val="num" w:pos="1914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634" w:hanging="360"/>
        <w:tabs>
          <w:tab w:val="num" w:pos="2634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354" w:hanging="360"/>
        <w:tabs>
          <w:tab w:val="num" w:pos="3354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074" w:hanging="180"/>
        <w:tabs>
          <w:tab w:val="num" w:pos="4074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794" w:hanging="360"/>
        <w:tabs>
          <w:tab w:val="num" w:pos="4794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514" w:hanging="360"/>
        <w:tabs>
          <w:tab w:val="num" w:pos="5514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234" w:hanging="180"/>
        <w:tabs>
          <w:tab w:val="num" w:pos="6234" w:leader="none"/>
        </w:tabs>
      </w:pPr>
      <w:rPr>
        <w:rFonts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2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9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960" w:hanging="2160"/>
      </w:pPr>
      <w:rPr>
        <w:rFonts w:hint="default"/>
      </w:rPr>
    </w:lvl>
  </w:abstractNum>
  <w:num w:numId="1">
    <w:abstractNumId w:val="27"/>
  </w:num>
  <w:num w:numId="2">
    <w:abstractNumId w:val="4"/>
  </w:num>
  <w:num w:numId="3">
    <w:abstractNumId w:val="20"/>
  </w:num>
  <w:num w:numId="4">
    <w:abstractNumId w:val="8"/>
  </w:num>
  <w:num w:numId="5">
    <w:abstractNumId w:val="1"/>
  </w:num>
  <w:num w:numId="6">
    <w:abstractNumId w:val="14"/>
  </w:num>
  <w:num w:numId="7">
    <w:abstractNumId w:val="25"/>
  </w:num>
  <w:num w:numId="8">
    <w:abstractNumId w:val="3"/>
  </w:num>
  <w:num w:numId="9">
    <w:abstractNumId w:val="12"/>
  </w:num>
  <w:num w:numId="10">
    <w:abstractNumId w:val="7"/>
  </w:num>
  <w:num w:numId="11">
    <w:abstractNumId w:val="16"/>
  </w:num>
  <w:num w:numId="12">
    <w:abstractNumId w:val="0"/>
  </w:num>
  <w:num w:numId="13">
    <w:abstractNumId w:val="13"/>
  </w:num>
  <w:num w:numId="14">
    <w:abstractNumId w:val="19"/>
  </w:num>
  <w:num w:numId="15">
    <w:abstractNumId w:val="17"/>
  </w:num>
  <w:num w:numId="16">
    <w:abstractNumId w:val="23"/>
  </w:num>
  <w:num w:numId="17">
    <w:abstractNumId w:val="0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suff w:val="tab"/>
        <w:lvlText w:val="%1.%2."/>
        <w:lvlJc w:val="left"/>
        <w:pPr>
          <w:ind w:left="720" w:hanging="720"/>
        </w:pPr>
        <w:rPr>
          <w:rFonts w:hint="default"/>
          <w:b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suff w:val="tab"/>
        <w:lvlText w:val="%1.21."/>
        <w:lvlJc w:val="left"/>
        <w:pPr>
          <w:ind w:left="2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suff w:val="tab"/>
        <w:lvlText w:val="%1.%2.%3.%4."/>
        <w:lvlJc w:val="left"/>
        <w:pPr>
          <w:ind w:left="34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suff w:val="tab"/>
        <w:lvlText w:val="%1.%2.%3.%4.%5."/>
        <w:lvlJc w:val="left"/>
        <w:pPr>
          <w:ind w:left="41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suff w:val="tab"/>
        <w:lvlText w:val="%1.%2.%3.%4.%5.%6."/>
        <w:lvlJc w:val="left"/>
        <w:pPr>
          <w:ind w:left="52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suff w:val="tab"/>
        <w:lvlText w:val="%1.%2.%3.%4.%5.%6.%7."/>
        <w:lvlJc w:val="left"/>
        <w:pPr>
          <w:ind w:left="624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suff w:val="tab"/>
        <w:lvlText w:val="%1.%2.%3.%4.%5.%6.%7.%8."/>
        <w:lvlJc w:val="left"/>
        <w:pPr>
          <w:ind w:left="692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suff w:val="tab"/>
        <w:lvlText w:val="%1.%2.%3.%4.%5.%6.%7.%8.%9."/>
        <w:lvlJc w:val="left"/>
        <w:pPr>
          <w:ind w:left="7960" w:hanging="2160"/>
        </w:pPr>
        <w:rPr>
          <w:rFonts w:hint="default"/>
        </w:rPr>
      </w:lvl>
    </w:lvlOverride>
  </w:num>
  <w:num w:numId="18">
    <w:abstractNumId w:val="2"/>
  </w:num>
  <w:num w:numId="19">
    <w:abstractNumId w:val="24"/>
  </w:num>
  <w:num w:numId="20">
    <w:abstractNumId w:val="10"/>
  </w:num>
  <w:num w:numId="21">
    <w:abstractNumId w:val="26"/>
  </w:num>
  <w:num w:numId="22">
    <w:abstractNumId w:val="22"/>
  </w:num>
  <w:num w:numId="23">
    <w:abstractNumId w:val="15"/>
  </w:num>
  <w:num w:numId="24">
    <w:abstractNumId w:val="6"/>
  </w:num>
  <w:num w:numId="25">
    <w:abstractNumId w:val="11"/>
  </w:num>
  <w:num w:numId="26">
    <w:abstractNumId w:val="18"/>
  </w:num>
  <w:num w:numId="27">
    <w:abstractNumId w:val="5"/>
  </w:num>
  <w:num w:numId="28">
    <w:abstractNumId w:val="2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szCs w:val="22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 w:default="1">
    <w:name w:val="Normal"/>
    <w:link w:val="808"/>
    <w:rPr>
      <w:rFonts w:ascii="Times New Roman" w:hAnsi="Times New Roman" w:eastAsia="Times New Roman"/>
      <w:sz w:val="24"/>
      <w:szCs w:val="24"/>
      <w:lang w:val="ru-RU"/>
    </w:rPr>
  </w:style>
  <w:style w:type="paragraph" w:styleId="736">
    <w:name w:val="Heading 1"/>
    <w:basedOn w:val="735"/>
    <w:next w:val="735"/>
    <w:link w:val="7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7">
    <w:name w:val="Heading 2"/>
    <w:basedOn w:val="735"/>
    <w:next w:val="735"/>
    <w:link w:val="7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8">
    <w:name w:val="Heading 3"/>
    <w:basedOn w:val="735"/>
    <w:next w:val="735"/>
    <w:link w:val="7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35"/>
    <w:next w:val="735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35"/>
    <w:next w:val="735"/>
    <w:link w:val="7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41">
    <w:name w:val="Heading 6"/>
    <w:basedOn w:val="735"/>
    <w:next w:val="735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Heading 7"/>
    <w:basedOn w:val="735"/>
    <w:next w:val="735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735"/>
    <w:next w:val="735"/>
    <w:link w:val="7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Heading 9"/>
    <w:basedOn w:val="735"/>
    <w:next w:val="735"/>
    <w:link w:val="7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Endnote Text Char"/>
    <w:uiPriority w:val="99"/>
    <w:rPr>
      <w:sz w:val="20"/>
    </w:rPr>
  </w:style>
  <w:style w:type="character" w:styleId="749" w:customStyle="1">
    <w:name w:val="Heading 1 Char"/>
    <w:basedOn w:val="745"/>
    <w:uiPriority w:val="9"/>
    <w:rPr>
      <w:rFonts w:ascii="Arial" w:hAnsi="Arial" w:eastAsia="Arial" w:cs="Arial"/>
      <w:sz w:val="40"/>
      <w:szCs w:val="40"/>
    </w:rPr>
  </w:style>
  <w:style w:type="character" w:styleId="750" w:customStyle="1">
    <w:name w:val="Heading 2 Char"/>
    <w:basedOn w:val="745"/>
    <w:uiPriority w:val="9"/>
    <w:rPr>
      <w:rFonts w:ascii="Arial" w:hAnsi="Arial" w:eastAsia="Arial" w:cs="Arial"/>
      <w:sz w:val="34"/>
    </w:rPr>
  </w:style>
  <w:style w:type="character" w:styleId="751" w:customStyle="1">
    <w:name w:val="Heading 3 Char"/>
    <w:basedOn w:val="745"/>
    <w:uiPriority w:val="9"/>
    <w:rPr>
      <w:rFonts w:ascii="Arial" w:hAnsi="Arial" w:eastAsia="Arial" w:cs="Arial"/>
      <w:sz w:val="30"/>
      <w:szCs w:val="30"/>
    </w:rPr>
  </w:style>
  <w:style w:type="character" w:styleId="752" w:customStyle="1">
    <w:name w:val="Heading 4 Char"/>
    <w:basedOn w:val="745"/>
    <w:uiPriority w:val="9"/>
    <w:rPr>
      <w:rFonts w:ascii="Arial" w:hAnsi="Arial" w:eastAsia="Arial" w:cs="Arial"/>
      <w:b/>
      <w:bCs/>
      <w:sz w:val="26"/>
      <w:szCs w:val="26"/>
    </w:rPr>
  </w:style>
  <w:style w:type="character" w:styleId="753" w:customStyle="1">
    <w:name w:val="Heading 5 Char"/>
    <w:basedOn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54" w:customStyle="1">
    <w:name w:val="Heading 6 Char"/>
    <w:basedOn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55" w:customStyle="1">
    <w:name w:val="Heading 7 Char"/>
    <w:basedOn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6" w:customStyle="1">
    <w:name w:val="Heading 8 Char"/>
    <w:basedOn w:val="745"/>
    <w:uiPriority w:val="9"/>
    <w:rPr>
      <w:rFonts w:ascii="Arial" w:hAnsi="Arial" w:eastAsia="Arial" w:cs="Arial"/>
      <w:i/>
      <w:iCs/>
      <w:sz w:val="22"/>
      <w:szCs w:val="22"/>
    </w:rPr>
  </w:style>
  <w:style w:type="character" w:styleId="757" w:customStyle="1">
    <w:name w:val="Heading 9 Char"/>
    <w:basedOn w:val="745"/>
    <w:uiPriority w:val="9"/>
    <w:rPr>
      <w:rFonts w:ascii="Arial" w:hAnsi="Arial" w:eastAsia="Arial" w:cs="Arial"/>
      <w:i/>
      <w:iCs/>
      <w:sz w:val="21"/>
      <w:szCs w:val="21"/>
    </w:rPr>
  </w:style>
  <w:style w:type="character" w:styleId="758" w:customStyle="1">
    <w:name w:val="Title Char"/>
    <w:basedOn w:val="745"/>
    <w:uiPriority w:val="10"/>
    <w:rPr>
      <w:sz w:val="48"/>
      <w:szCs w:val="48"/>
    </w:rPr>
  </w:style>
  <w:style w:type="character" w:styleId="759" w:customStyle="1">
    <w:name w:val="Subtitle Char"/>
    <w:basedOn w:val="745"/>
    <w:uiPriority w:val="11"/>
    <w:rPr>
      <w:sz w:val="24"/>
      <w:szCs w:val="24"/>
    </w:rPr>
  </w:style>
  <w:style w:type="character" w:styleId="760" w:customStyle="1">
    <w:name w:val="Quote Char"/>
    <w:uiPriority w:val="29"/>
    <w:rPr>
      <w:i/>
    </w:rPr>
  </w:style>
  <w:style w:type="character" w:styleId="761" w:customStyle="1">
    <w:name w:val="Intense Quote Char"/>
    <w:uiPriority w:val="30"/>
    <w:rPr>
      <w:i/>
    </w:rPr>
  </w:style>
  <w:style w:type="character" w:styleId="762" w:customStyle="1">
    <w:name w:val="Caption Char"/>
    <w:uiPriority w:val="99"/>
  </w:style>
  <w:style w:type="table" w:styleId="763" w:customStyle="1">
    <w:name w:val="Grid Table 5 Dark- Accent 1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character" w:styleId="765" w:customStyle="1">
    <w:name w:val="Footnote Text Char"/>
    <w:uiPriority w:val="99"/>
    <w:rPr>
      <w:sz w:val="18"/>
    </w:rPr>
  </w:style>
  <w:style w:type="paragraph" w:styleId="766">
    <w:name w:val="endnote text"/>
    <w:basedOn w:val="735"/>
    <w:link w:val="767"/>
    <w:uiPriority w:val="99"/>
    <w:semiHidden/>
    <w:unhideWhenUsed/>
    <w:rPr>
      <w:sz w:val="20"/>
    </w:rPr>
  </w:style>
  <w:style w:type="character" w:styleId="767" w:customStyle="1">
    <w:name w:val="Текст концевой сноски Знак"/>
    <w:link w:val="766"/>
    <w:uiPriority w:val="99"/>
    <w:rPr>
      <w:sz w:val="20"/>
    </w:rPr>
  </w:style>
  <w:style w:type="character" w:styleId="768">
    <w:name w:val="endnote reference"/>
    <w:basedOn w:val="745"/>
    <w:uiPriority w:val="99"/>
    <w:semiHidden/>
    <w:unhideWhenUsed/>
    <w:rPr>
      <w:vertAlign w:val="superscript"/>
    </w:rPr>
  </w:style>
  <w:style w:type="paragraph" w:styleId="769">
    <w:name w:val="table of figures"/>
    <w:basedOn w:val="735"/>
    <w:next w:val="735"/>
    <w:uiPriority w:val="99"/>
    <w:unhideWhenUsed/>
  </w:style>
  <w:style w:type="character" w:styleId="770" w:customStyle="1">
    <w:name w:val="Заголовок 1 Знак"/>
    <w:basedOn w:val="745"/>
    <w:link w:val="736"/>
    <w:uiPriority w:val="9"/>
    <w:rPr>
      <w:rFonts w:ascii="Arial" w:hAnsi="Arial" w:eastAsia="Arial" w:cs="Arial"/>
      <w:sz w:val="40"/>
      <w:szCs w:val="40"/>
    </w:rPr>
  </w:style>
  <w:style w:type="character" w:styleId="771" w:customStyle="1">
    <w:name w:val="Заголовок 2 Знак"/>
    <w:basedOn w:val="745"/>
    <w:link w:val="737"/>
    <w:uiPriority w:val="9"/>
    <w:rPr>
      <w:rFonts w:ascii="Arial" w:hAnsi="Arial" w:eastAsia="Arial" w:cs="Arial"/>
      <w:sz w:val="34"/>
    </w:rPr>
  </w:style>
  <w:style w:type="character" w:styleId="772" w:customStyle="1">
    <w:name w:val="Заголовок 3 Знак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73" w:customStyle="1">
    <w:name w:val="Заголовок 4 Знак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74" w:customStyle="1">
    <w:name w:val="Заголовок 5 Знак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75" w:customStyle="1">
    <w:name w:val="Заголовок 6 Знак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76" w:customStyle="1">
    <w:name w:val="Заголовок 7 Знак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7" w:customStyle="1">
    <w:name w:val="Заголовок 8 Знак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78" w:customStyle="1">
    <w:name w:val="Заголовок 9 Знак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79">
    <w:name w:val="No Spacing"/>
    <w:uiPriority w:val="1"/>
    <w:qFormat/>
  </w:style>
  <w:style w:type="paragraph" w:styleId="780">
    <w:name w:val="Title"/>
    <w:basedOn w:val="735"/>
    <w:next w:val="735"/>
    <w:link w:val="7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1" w:customStyle="1">
    <w:name w:val="Заголовок Знак"/>
    <w:basedOn w:val="745"/>
    <w:link w:val="780"/>
    <w:uiPriority w:val="10"/>
    <w:rPr>
      <w:sz w:val="48"/>
      <w:szCs w:val="48"/>
    </w:rPr>
  </w:style>
  <w:style w:type="paragraph" w:styleId="782">
    <w:name w:val="Subtitle"/>
    <w:basedOn w:val="735"/>
    <w:next w:val="735"/>
    <w:link w:val="783"/>
    <w:uiPriority w:val="11"/>
    <w:qFormat/>
    <w:pPr>
      <w:spacing w:before="200" w:after="200"/>
    </w:pPr>
  </w:style>
  <w:style w:type="character" w:styleId="783" w:customStyle="1">
    <w:name w:val="Подзаголовок Знак"/>
    <w:basedOn w:val="745"/>
    <w:link w:val="782"/>
    <w:uiPriority w:val="11"/>
    <w:rPr>
      <w:sz w:val="24"/>
      <w:szCs w:val="24"/>
    </w:rPr>
  </w:style>
  <w:style w:type="paragraph" w:styleId="784">
    <w:name w:val="Quote"/>
    <w:basedOn w:val="735"/>
    <w:next w:val="735"/>
    <w:link w:val="785"/>
    <w:uiPriority w:val="29"/>
    <w:qFormat/>
    <w:pPr>
      <w:ind w:left="720" w:right="720"/>
    </w:pPr>
    <w:rPr>
      <w:i/>
    </w:rPr>
  </w:style>
  <w:style w:type="character" w:styleId="785" w:customStyle="1">
    <w:name w:val="Цитата 2 Знак"/>
    <w:link w:val="784"/>
    <w:uiPriority w:val="29"/>
    <w:rPr>
      <w:i/>
    </w:rPr>
  </w:style>
  <w:style w:type="paragraph" w:styleId="786">
    <w:name w:val="Intense Quote"/>
    <w:basedOn w:val="735"/>
    <w:next w:val="735"/>
    <w:link w:val="7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 w:customStyle="1">
    <w:name w:val="Выделенная цитата Знак"/>
    <w:link w:val="786"/>
    <w:uiPriority w:val="30"/>
    <w:rPr>
      <w:i/>
    </w:rPr>
  </w:style>
  <w:style w:type="character" w:styleId="788" w:customStyle="1">
    <w:name w:val="Header Char"/>
    <w:basedOn w:val="745"/>
    <w:uiPriority w:val="99"/>
  </w:style>
  <w:style w:type="paragraph" w:styleId="789">
    <w:name w:val="Footer"/>
    <w:basedOn w:val="735"/>
    <w:link w:val="79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90" w:customStyle="1">
    <w:name w:val="Footer Char"/>
    <w:basedOn w:val="745"/>
    <w:uiPriority w:val="99"/>
  </w:style>
  <w:style w:type="paragraph" w:styleId="791">
    <w:name w:val="Caption"/>
    <w:basedOn w:val="735"/>
    <w:next w:val="735"/>
    <w:link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2" w:customStyle="1">
    <w:name w:val="Нижний колонтитул Знак"/>
    <w:link w:val="789"/>
    <w:uiPriority w:val="99"/>
  </w:style>
  <w:style w:type="table" w:styleId="793">
    <w:name w:val="Table Grid"/>
    <w:basedOn w:val="746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94" w:customStyle="1">
    <w:name w:val="Table Grid Light"/>
    <w:basedOn w:val="74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5">
    <w:name w:val="Plain Table 1"/>
    <w:basedOn w:val="74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basedOn w:val="74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basedOn w:val="74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basedOn w:val="74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basedOn w:val="74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basedOn w:val="74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1"/>
    <w:basedOn w:val="74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2"/>
    <w:basedOn w:val="74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3"/>
    <w:basedOn w:val="74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4"/>
    <w:basedOn w:val="74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5"/>
    <w:basedOn w:val="74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6"/>
    <w:basedOn w:val="74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basedOn w:val="74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1"/>
    <w:basedOn w:val="74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2"/>
    <w:basedOn w:val="74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3"/>
    <w:basedOn w:val="74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4"/>
    <w:basedOn w:val="74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5"/>
    <w:basedOn w:val="74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6"/>
    <w:basedOn w:val="74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basedOn w:val="74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1"/>
    <w:basedOn w:val="74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2"/>
    <w:basedOn w:val="74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3"/>
    <w:basedOn w:val="74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4"/>
    <w:basedOn w:val="74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5"/>
    <w:basedOn w:val="74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6"/>
    <w:basedOn w:val="74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basedOn w:val="74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 w:customStyle="1">
    <w:name w:val="Grid Table 4 - Accent 1"/>
    <w:basedOn w:val="74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3" w:customStyle="1">
    <w:name w:val="Grid Table 4 - Accent 2"/>
    <w:basedOn w:val="74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Grid Table 4 - Accent 3"/>
    <w:basedOn w:val="74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5" w:customStyle="1">
    <w:name w:val="Grid Table 4 - Accent 4"/>
    <w:basedOn w:val="74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Grid Table 4 - Accent 5"/>
    <w:basedOn w:val="74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7" w:customStyle="1">
    <w:name w:val="Grid Table 4 - Accent 6"/>
    <w:basedOn w:val="74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8">
    <w:name w:val="Grid Table 5 Dark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829" w:customStyle="1">
    <w:name w:val="Основной текст 3 Знак"/>
    <w:basedOn w:val="746"/>
    <w:link w:val="94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5f1" w:themeFill="accent1" w:themeFillTint="34"/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 w:themeFill="accen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2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2dcdc" w:themeFill="accent2" w:themeFillTint="32"/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 w:themeFill="accent2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3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af1dc" w:themeFill="accent3" w:themeFillTint="34"/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 w:themeFill="accent3"/>
        <w:tcBorders>
          <w:top w:val="single" w:color="FFFFFF" w:themeColor="light1" w:sz="4" w:space="0"/>
        </w:tcBorders>
      </w:tcPr>
    </w:tblStylePr>
  </w:style>
  <w:style w:type="table" w:styleId="832" w:customStyle="1">
    <w:name w:val="Основной текст с отступом Знак"/>
    <w:basedOn w:val="746"/>
    <w:link w:val="94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5dfec" w:themeFill="accent4" w:themeFillTint="34"/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 w:themeFill="accent4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5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aeef3" w:themeFill="accent5" w:themeFillTint="34"/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 w:themeFill="accent5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6"/>
    <w:basedOn w:val="74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de9d8" w:themeFill="accent6" w:themeFillTint="34"/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 w:themeFill="accent6"/>
        <w:tcBorders>
          <w:top w:val="single" w:color="FFFFFF" w:themeColor="light1" w:sz="4" w:space="0"/>
        </w:tcBorders>
      </w:tcPr>
    </w:tblStylePr>
  </w:style>
  <w:style w:type="table" w:styleId="835">
    <w:name w:val="Grid Table 6 Colorful"/>
    <w:basedOn w:val="74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6" w:customStyle="1">
    <w:name w:val="Grid Table 6 Colorful - Accent 1"/>
    <w:basedOn w:val="74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7" w:customStyle="1">
    <w:name w:val="Grid Table 6 Colorful - Accent 2"/>
    <w:basedOn w:val="74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8" w:customStyle="1">
    <w:name w:val="Grid Table 6 Colorful - Accent 3"/>
    <w:basedOn w:val="74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9" w:customStyle="1">
    <w:name w:val="Grid Table 6 Colorful - Accent 4"/>
    <w:basedOn w:val="74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0" w:customStyle="1">
    <w:name w:val="Grid Table 6 Colorful - Accent 5"/>
    <w:basedOn w:val="74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1" w:customStyle="1">
    <w:name w:val="Grid Table 6 Colorful - Accent 6"/>
    <w:basedOn w:val="74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2">
    <w:name w:val="Grid Table 7 Colorful"/>
    <w:basedOn w:val="74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1"/>
    <w:basedOn w:val="74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2"/>
    <w:basedOn w:val="74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3"/>
    <w:basedOn w:val="74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4"/>
    <w:basedOn w:val="74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5"/>
    <w:basedOn w:val="74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6"/>
    <w:basedOn w:val="74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1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2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3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4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5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6"/>
    <w:basedOn w:val="746"/>
    <w:uiPriority w:val="99"/>
    <w:tblPr>
      <w:tblStyleRowBandSize w:val="1"/>
      <w:tblStyleColBandSize w:val="1"/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basedOn w:val="74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1"/>
    <w:basedOn w:val="74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2"/>
    <w:basedOn w:val="74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3"/>
    <w:basedOn w:val="74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4"/>
    <w:basedOn w:val="74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5"/>
    <w:basedOn w:val="74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6"/>
    <w:basedOn w:val="74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basedOn w:val="74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1"/>
    <w:basedOn w:val="74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2"/>
    <w:basedOn w:val="74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3"/>
    <w:basedOn w:val="74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4"/>
    <w:basedOn w:val="74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5"/>
    <w:basedOn w:val="74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6"/>
    <w:basedOn w:val="74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basedOn w:val="74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1"/>
    <w:basedOn w:val="74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2"/>
    <w:basedOn w:val="74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3"/>
    <w:basedOn w:val="74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4"/>
    <w:basedOn w:val="74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5"/>
    <w:basedOn w:val="74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6"/>
    <w:basedOn w:val="74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basedOn w:val="74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1"/>
    <w:basedOn w:val="74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auto" w:fill="4f81bd" w:themeFill="accent1"/>
    </w:tblPr>
    <w:tblStylePr w:type="band1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2"/>
    <w:basedOn w:val="74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auto" w:fill="d99695" w:themeFill="accent2" w:themeFillTint="97"/>
    </w:tblPr>
    <w:tblStylePr w:type="band1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3"/>
    <w:basedOn w:val="74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auto" w:fill="c3d69b" w:themeFill="accent3" w:themeFillTint="98"/>
    </w:tblPr>
    <w:tblStylePr w:type="band1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4"/>
    <w:basedOn w:val="74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auto" w:fill="b2a1c6" w:themeFill="accent4" w:themeFillTint="9A"/>
    </w:tblPr>
    <w:tblStylePr w:type="band1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5"/>
    <w:basedOn w:val="74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auto" w:fill="92ccdc" w:themeFill="accent5" w:themeFillTint="9A"/>
    </w:tblPr>
    <w:tblStylePr w:type="band1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6"/>
    <w:basedOn w:val="74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auto" w:fill="fac090" w:themeFill="accent6" w:themeFillTint="98"/>
    </w:tblPr>
    <w:tblStylePr w:type="band1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>
    <w:name w:val="List Table 6 Colorful"/>
    <w:basedOn w:val="74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5" w:customStyle="1">
    <w:name w:val="List Table 6 Colorful - Accent 1"/>
    <w:basedOn w:val="74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6" w:customStyle="1">
    <w:name w:val="List Table 6 Colorful - Accent 2"/>
    <w:basedOn w:val="74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7" w:customStyle="1">
    <w:name w:val="List Table 6 Colorful - Accent 3"/>
    <w:basedOn w:val="74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8" w:customStyle="1">
    <w:name w:val="List Table 6 Colorful - Accent 4"/>
    <w:basedOn w:val="74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9" w:customStyle="1">
    <w:name w:val="List Table 6 Colorful - Accent 5"/>
    <w:basedOn w:val="74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0" w:customStyle="1">
    <w:name w:val="List Table 6 Colorful - Accent 6"/>
    <w:basedOn w:val="74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1">
    <w:name w:val="List Table 7 Colorful"/>
    <w:basedOn w:val="74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1"/>
    <w:basedOn w:val="74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2"/>
    <w:basedOn w:val="74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3"/>
    <w:basedOn w:val="74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4"/>
    <w:basedOn w:val="74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5"/>
    <w:basedOn w:val="74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6"/>
    <w:basedOn w:val="74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ned - Accent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99" w:customStyle="1">
    <w:name w:val="Lined - Accent 1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900" w:customStyle="1">
    <w:name w:val="Lined - Accent 2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901" w:customStyle="1">
    <w:name w:val="Lined - Accent 3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902" w:customStyle="1">
    <w:name w:val="Lined - Accent 4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903" w:customStyle="1">
    <w:name w:val="Lined - Accent 5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904" w:customStyle="1">
    <w:name w:val="Lined - Accent 6"/>
    <w:basedOn w:val="746"/>
    <w:uiPriority w:val="99"/>
    <w:rPr>
      <w:color w:val="404040"/>
      <w:szCs w:val="2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905" w:customStyle="1">
    <w:name w:val="Bordered &amp; Lined - Accent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906" w:customStyle="1">
    <w:name w:val="Bordered &amp; Lined - Accent 1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907" w:customStyle="1">
    <w:name w:val="Bordered &amp; Lined - Accent 2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908" w:customStyle="1">
    <w:name w:val="Bordered &amp; Lined - Accent 3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909" w:customStyle="1">
    <w:name w:val="Bordered &amp; Lined - Accent 4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910" w:customStyle="1">
    <w:name w:val="Bordered &amp; Lined - Accent 5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</w:style>
  <w:style w:type="table" w:styleId="911" w:customStyle="1">
    <w:name w:val="Bordered &amp; Lined - Accent 6"/>
    <w:basedOn w:val="746"/>
    <w:uiPriority w:val="99"/>
    <w:rPr>
      <w:color w:val="404040"/>
      <w:szCs w:val="2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</w:style>
  <w:style w:type="table" w:styleId="912" w:customStyle="1">
    <w:name w:val="Bordered"/>
    <w:basedOn w:val="74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3" w:customStyle="1">
    <w:name w:val="Bordered - Accent 1"/>
    <w:basedOn w:val="74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4" w:customStyle="1">
    <w:name w:val="Bordered - Accent 2"/>
    <w:basedOn w:val="74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5" w:customStyle="1">
    <w:name w:val="Bordered - Accent 3"/>
    <w:basedOn w:val="74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6" w:customStyle="1">
    <w:name w:val="Bordered - Accent 4"/>
    <w:basedOn w:val="74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7" w:customStyle="1">
    <w:name w:val="Bordered - Accent 5"/>
    <w:basedOn w:val="74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8" w:customStyle="1">
    <w:name w:val="Bordered - Accent 6"/>
    <w:basedOn w:val="74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9">
    <w:name w:val="Hyperlink"/>
    <w:uiPriority w:val="99"/>
    <w:unhideWhenUsed/>
    <w:rPr>
      <w:color w:val="0000ff" w:themeColor="hyperlink"/>
      <w:u w:val="single"/>
    </w:rPr>
  </w:style>
  <w:style w:type="paragraph" w:styleId="920">
    <w:name w:val="footnote text"/>
    <w:basedOn w:val="735"/>
    <w:link w:val="921"/>
    <w:uiPriority w:val="99"/>
    <w:semiHidden/>
    <w:unhideWhenUsed/>
    <w:pPr>
      <w:spacing w:after="40"/>
    </w:pPr>
    <w:rPr>
      <w:sz w:val="18"/>
    </w:rPr>
  </w:style>
  <w:style w:type="character" w:styleId="921" w:customStyle="1">
    <w:name w:val="Текст сноски Знак"/>
    <w:link w:val="920"/>
    <w:uiPriority w:val="99"/>
    <w:rPr>
      <w:sz w:val="18"/>
    </w:rPr>
  </w:style>
  <w:style w:type="character" w:styleId="922">
    <w:name w:val="footnote reference"/>
    <w:basedOn w:val="745"/>
    <w:uiPriority w:val="99"/>
    <w:unhideWhenUsed/>
    <w:rPr>
      <w:vertAlign w:val="superscript"/>
    </w:rPr>
  </w:style>
  <w:style w:type="paragraph" w:styleId="923">
    <w:name w:val="toc 1"/>
    <w:basedOn w:val="735"/>
    <w:next w:val="735"/>
    <w:uiPriority w:val="39"/>
    <w:unhideWhenUsed/>
    <w:pPr>
      <w:spacing w:after="57"/>
    </w:pPr>
  </w:style>
  <w:style w:type="paragraph" w:styleId="924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25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26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27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28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29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30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31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32">
    <w:name w:val="TOC Heading"/>
    <w:uiPriority w:val="39"/>
    <w:unhideWhenUsed/>
  </w:style>
  <w:style w:type="paragraph" w:styleId="933">
    <w:name w:val="Header"/>
    <w:basedOn w:val="735"/>
    <w:link w:val="934"/>
    <w:pPr>
      <w:tabs>
        <w:tab w:val="center" w:pos="4320" w:leader="none"/>
        <w:tab w:val="right" w:pos="8640" w:leader="none"/>
      </w:tabs>
    </w:pPr>
  </w:style>
  <w:style w:type="character" w:styleId="934" w:customStyle="1">
    <w:name w:val="Верхний колонтитул Знак"/>
    <w:link w:val="933"/>
    <w:rPr>
      <w:rFonts w:ascii="Geneva CY" w:hAnsi="Geneva CY" w:eastAsia="Geneva" w:cs="Times New Roman"/>
      <w:sz w:val="20"/>
      <w:szCs w:val="20"/>
      <w:lang w:val="ru-RU" w:eastAsia="en-US"/>
    </w:rPr>
  </w:style>
  <w:style w:type="character" w:styleId="935">
    <w:name w:val="page number"/>
    <w:basedOn w:val="745"/>
  </w:style>
  <w:style w:type="paragraph" w:styleId="936">
    <w:name w:val="Balloon Text"/>
    <w:basedOn w:val="735"/>
    <w:link w:val="937"/>
    <w:uiPriority w:val="99"/>
    <w:semiHidden/>
    <w:unhideWhenUsed/>
    <w:rPr>
      <w:rFonts w:ascii="Lucida Grande" w:hAnsi="Lucida Grande"/>
      <w:sz w:val="18"/>
      <w:szCs w:val="18"/>
    </w:rPr>
  </w:style>
  <w:style w:type="character" w:styleId="937" w:customStyle="1">
    <w:name w:val="Текст выноски Знак"/>
    <w:link w:val="93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paragraph" w:styleId="938" w:customStyle="1">
    <w:name w:val="Подподпункт"/>
    <w:basedOn w:val="735"/>
    <w:link w:val="939"/>
    <w:pPr>
      <w:numPr>
        <w:ilvl w:val="0"/>
        <w:numId w:val="9"/>
      </w:numPr>
      <w:jc w:val="both"/>
      <w:spacing w:line="360" w:lineRule="auto"/>
    </w:pPr>
    <w:rPr>
      <w:sz w:val="28"/>
    </w:rPr>
  </w:style>
  <w:style w:type="character" w:styleId="939" w:customStyle="1">
    <w:name w:val="Подподпункт Знак"/>
    <w:link w:val="938"/>
    <w:rPr>
      <w:rFonts w:ascii="Times New Roman" w:hAnsi="Times New Roman" w:eastAsia="Times New Roman"/>
      <w:sz w:val="28"/>
      <w:lang w:val="ru-RU"/>
    </w:rPr>
  </w:style>
  <w:style w:type="paragraph" w:styleId="940">
    <w:name w:val="List Paragraph"/>
    <w:basedOn w:val="735"/>
    <w:uiPriority w:val="34"/>
    <w:qFormat/>
    <w:pPr>
      <w:contextualSpacing/>
      <w:ind w:left="720"/>
    </w:pPr>
    <w:rPr>
      <w:lang w:val="en-US"/>
    </w:rPr>
  </w:style>
  <w:style w:type="paragraph" w:styleId="941">
    <w:name w:val="Body Text Indent"/>
    <w:link w:val="832"/>
    <w:pPr>
      <w:ind w:firstLine="540"/>
    </w:pPr>
    <w:rPr>
      <w:rFonts w:ascii="Times New Roman" w:hAnsi="Times New Roman" w:eastAsia="Times New Roman"/>
      <w:sz w:val="24"/>
      <w:szCs w:val="24"/>
      <w:lang w:val="ru-RU"/>
    </w:rPr>
  </w:style>
  <w:style w:type="paragraph" w:styleId="942">
    <w:name w:val="Body Text 3"/>
    <w:link w:val="829"/>
    <w:pPr>
      <w:spacing w:after="120"/>
    </w:pPr>
    <w:rPr>
      <w:rFonts w:ascii="Times New Roman" w:hAnsi="Times New Roman" w:eastAsia="Times New Roman"/>
      <w:sz w:val="16"/>
      <w:szCs w:val="16"/>
      <w:lang w:val="ru-RU"/>
    </w:rPr>
  </w:style>
  <w:style w:type="character" w:styleId="943">
    <w:name w:val="annotation reference"/>
    <w:basedOn w:val="745"/>
    <w:uiPriority w:val="99"/>
    <w:semiHidden/>
    <w:unhideWhenUsed/>
    <w:rPr>
      <w:sz w:val="16"/>
      <w:szCs w:val="16"/>
    </w:rPr>
  </w:style>
  <w:style w:type="paragraph" w:styleId="944">
    <w:name w:val="annotation text"/>
    <w:basedOn w:val="735"/>
    <w:link w:val="945"/>
    <w:uiPriority w:val="99"/>
    <w:semiHidden/>
    <w:unhideWhenUsed/>
    <w:rPr>
      <w:sz w:val="20"/>
      <w:szCs w:val="20"/>
    </w:rPr>
  </w:style>
  <w:style w:type="character" w:styleId="945" w:customStyle="1">
    <w:name w:val="Текст примечания Знак"/>
    <w:basedOn w:val="745"/>
    <w:link w:val="944"/>
    <w:uiPriority w:val="99"/>
    <w:semiHidden/>
    <w:rPr>
      <w:rFonts w:ascii="Times New Roman" w:hAnsi="Times New Roman" w:eastAsia="Times New Roman"/>
      <w:szCs w:val="20"/>
      <w:lang w:val="ru-RU"/>
    </w:rPr>
  </w:style>
  <w:style w:type="paragraph" w:styleId="946">
    <w:name w:val="annotation subject"/>
    <w:basedOn w:val="944"/>
    <w:next w:val="944"/>
    <w:link w:val="947"/>
    <w:uiPriority w:val="99"/>
    <w:semiHidden/>
    <w:unhideWhenUsed/>
    <w:rPr>
      <w:b/>
      <w:bCs/>
    </w:rPr>
  </w:style>
  <w:style w:type="character" w:styleId="947" w:customStyle="1">
    <w:name w:val="Тема примечания Знак"/>
    <w:basedOn w:val="945"/>
    <w:link w:val="946"/>
    <w:uiPriority w:val="99"/>
    <w:semiHidden/>
    <w:rPr>
      <w:rFonts w:ascii="Times New Roman" w:hAnsi="Times New Roman" w:eastAsia="Times New Roman"/>
      <w:b/>
      <w:bCs/>
      <w:szCs w:val="20"/>
      <w:lang w:val="ru-RU"/>
    </w:rPr>
  </w:style>
  <w:style w:type="paragraph" w:styleId="948">
    <w:name w:val="Revision"/>
    <w:hidden/>
    <w:uiPriority w:val="99"/>
    <w:semiHidden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Times New Roman" w:hAnsi="Times New Roman" w:eastAsia="Times New Roman"/>
      <w:sz w:val="24"/>
      <w:szCs w:val="24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EA453-C997-420B-B016-B2ED5D4F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evstratenko_av</cp:lastModifiedBy>
  <cp:revision>21</cp:revision>
  <dcterms:created xsi:type="dcterms:W3CDTF">2025-08-13T02:13:00Z</dcterms:created>
  <dcterms:modified xsi:type="dcterms:W3CDTF">2026-02-11T04:38:47Z</dcterms:modified>
</cp:coreProperties>
</file>